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9E" w:rsidRDefault="00EC476A">
      <w:r>
        <w:fldChar w:fldCharType="begin"/>
      </w:r>
      <w:r>
        <w:instrText xml:space="preserve"> HYPERLINK "</w:instrText>
      </w:r>
      <w:r w:rsidRPr="00EC476A">
        <w:instrText>http://www.mobot.org/MOBOT/Research/russia/azerbaijan.shtml</w:instrText>
      </w:r>
      <w:r>
        <w:instrText xml:space="preserve">" </w:instrText>
      </w:r>
      <w:r>
        <w:fldChar w:fldCharType="separate"/>
      </w:r>
      <w:r w:rsidRPr="00D03D36">
        <w:rPr>
          <w:rStyle w:val="Hyperlink"/>
        </w:rPr>
        <w:t>http://www.mobot.org/MOBOT/Research/russia/azerbaijan.shtml</w:t>
      </w:r>
      <w:r>
        <w:fldChar w:fldCharType="end"/>
      </w:r>
    </w:p>
    <w:p w:rsidR="00EC476A" w:rsidRDefault="00EC476A"/>
    <w:tbl>
      <w:tblPr>
        <w:tblW w:w="5000" w:type="pct"/>
        <w:tblCellSpacing w:w="0" w:type="dxa"/>
        <w:tblCellMar>
          <w:top w:w="440" w:type="dxa"/>
          <w:left w:w="440" w:type="dxa"/>
          <w:bottom w:w="440" w:type="dxa"/>
          <w:right w:w="440" w:type="dxa"/>
        </w:tblCellMar>
        <w:tblLook w:val="04A0" w:firstRow="1" w:lastRow="0" w:firstColumn="1" w:lastColumn="0" w:noHBand="0" w:noVBand="1"/>
      </w:tblPr>
      <w:tblGrid>
        <w:gridCol w:w="9952"/>
      </w:tblGrid>
      <w:tr w:rsidR="00EC476A" w:rsidTr="00EC476A">
        <w:trPr>
          <w:tblCellSpacing w:w="0" w:type="dxa"/>
        </w:trPr>
        <w:tc>
          <w:tcPr>
            <w:tcW w:w="0" w:type="auto"/>
            <w:hideMark/>
          </w:tcPr>
          <w:p w:rsidR="00EC476A" w:rsidRDefault="00EC476A">
            <w:pPr>
              <w:pStyle w:val="Heading5"/>
              <w:rPr>
                <w:rFonts w:eastAsia="Times New Roman"/>
              </w:rPr>
            </w:pPr>
            <w:r>
              <w:rPr>
                <w:rFonts w:eastAsia="Times New Roman"/>
              </w:rPr>
              <w:t xml:space="preserve">ORNAMENTAL PLANTS IN THEIR NATURAL HABITATS </w:t>
            </w:r>
          </w:p>
          <w:p w:rsidR="00EC476A" w:rsidRDefault="00EC476A">
            <w:pPr>
              <w:pStyle w:val="NormalWeb"/>
              <w:outlineLvl w:val="5"/>
              <w:rPr>
                <w:b/>
                <w:bCs/>
              </w:rPr>
            </w:pPr>
            <w:r>
              <w:rPr>
                <w:b/>
                <w:bCs/>
              </w:rPr>
              <w:t>B. Azerbaijan</w:t>
            </w:r>
          </w:p>
          <w:tbl>
            <w:tblPr>
              <w:tblpPr w:leftFromText="60" w:rightFromText="6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290"/>
            </w:tblGrid>
            <w:tr w:rsidR="00EC476A">
              <w:trPr>
                <w:tblCellSpacing w:w="15" w:type="dxa"/>
              </w:trPr>
              <w:tc>
                <w:tcPr>
                  <w:tcW w:w="0" w:type="auto"/>
                  <w:hideMark/>
                </w:tcPr>
                <w:p w:rsidR="00EC476A" w:rsidRDefault="00EC476A">
                  <w:pPr>
                    <w:rPr>
                      <w:rFonts w:ascii="Times" w:eastAsia="Times New Roman" w:hAnsi="Times"/>
                    </w:rPr>
                  </w:pPr>
                  <w:bookmarkStart w:id="0" w:name="display"/>
                  <w:bookmarkStart w:id="1" w:name="_GoBack"/>
                  <w:r>
                    <w:rPr>
                      <w:rFonts w:eastAsia="Times New Roman"/>
                      <w:noProof/>
                      <w:color w:val="0000FF"/>
                    </w:rPr>
                    <w:drawing>
                      <wp:inline distT="0" distB="0" distL="0" distR="0">
                        <wp:extent cx="2032000" cy="1757680"/>
                        <wp:effectExtent l="0" t="0" r="0" b="0"/>
                        <wp:docPr id="1" name="Picture 1" descr="zerbaijan">
                          <a:hlinkClick xmlns:a="http://schemas.openxmlformats.org/drawingml/2006/main" r:id="rId5"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baijan">
                                  <a:hlinkClick r:id="rId5" tgtFrame="&quot;newW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757680"/>
                                </a:xfrm>
                                <a:prstGeom prst="rect">
                                  <a:avLst/>
                                </a:prstGeom>
                                <a:noFill/>
                                <a:ln>
                                  <a:noFill/>
                                </a:ln>
                              </pic:spPr>
                            </pic:pic>
                          </a:graphicData>
                        </a:graphic>
                      </wp:inline>
                    </w:drawing>
                  </w:r>
                  <w:bookmarkEnd w:id="1"/>
                </w:p>
              </w:tc>
            </w:tr>
          </w:tbl>
          <w:p w:rsidR="00EC476A" w:rsidRDefault="00EC476A">
            <w:pPr>
              <w:rPr>
                <w:rFonts w:eastAsia="Times New Roman"/>
              </w:rPr>
            </w:pPr>
            <w:r>
              <w:rPr>
                <w:rFonts w:eastAsia="Times New Roman"/>
              </w:rPr>
              <w:t xml:space="preserve">To the west of the </w:t>
            </w:r>
            <w:proofErr w:type="spellStart"/>
            <w:r>
              <w:rPr>
                <w:rFonts w:eastAsia="Times New Roman"/>
              </w:rPr>
              <w:t>Lagodekhi</w:t>
            </w:r>
            <w:proofErr w:type="spellEnd"/>
            <w:r>
              <w:rPr>
                <w:rFonts w:eastAsia="Times New Roman"/>
              </w:rPr>
              <w:t xml:space="preserve"> the </w:t>
            </w:r>
            <w:proofErr w:type="spellStart"/>
            <w:r>
              <w:rPr>
                <w:rFonts w:eastAsia="Times New Roman"/>
              </w:rPr>
              <w:t>Zakataly</w:t>
            </w:r>
            <w:proofErr w:type="spellEnd"/>
            <w:r>
              <w:rPr>
                <w:rFonts w:eastAsia="Times New Roman"/>
              </w:rPr>
              <w:t xml:space="preserve"> Reserve covers </w:t>
            </w:r>
            <w:proofErr w:type="spellStart"/>
            <w:r>
              <w:rPr>
                <w:rFonts w:eastAsia="Times New Roman"/>
              </w:rPr>
              <w:t>aproximately</w:t>
            </w:r>
            <w:proofErr w:type="spellEnd"/>
            <w:r>
              <w:rPr>
                <w:rFonts w:eastAsia="Times New Roman"/>
              </w:rPr>
              <w:t xml:space="preserve"> 20,000 hectares (about 49,380 acres) area. It is within easy reach of Baku and Tbilisi. The </w:t>
            </w:r>
            <w:proofErr w:type="gramStart"/>
            <w:r>
              <w:rPr>
                <w:rFonts w:eastAsia="Times New Roman"/>
              </w:rPr>
              <w:t>flora of both reserves are</w:t>
            </w:r>
            <w:proofErr w:type="gramEnd"/>
            <w:r>
              <w:rPr>
                <w:rFonts w:eastAsia="Times New Roman"/>
              </w:rPr>
              <w:t xml:space="preserve"> very similar and share most of their woody species. They differ mainly in terrain with </w:t>
            </w:r>
            <w:proofErr w:type="spellStart"/>
            <w:r>
              <w:rPr>
                <w:rFonts w:eastAsia="Times New Roman"/>
              </w:rPr>
              <w:t>Zakataly</w:t>
            </w:r>
            <w:proofErr w:type="spellEnd"/>
            <w:r>
              <w:rPr>
                <w:rFonts w:eastAsia="Times New Roman"/>
              </w:rPr>
              <w:t xml:space="preserve"> often being more inaccessible. </w:t>
            </w:r>
            <w:proofErr w:type="spellStart"/>
            <w:r>
              <w:rPr>
                <w:rFonts w:eastAsia="Times New Roman"/>
              </w:rPr>
              <w:t>Zakataly’s</w:t>
            </w:r>
            <w:proofErr w:type="spellEnd"/>
            <w:r>
              <w:rPr>
                <w:rFonts w:eastAsia="Times New Roman"/>
              </w:rPr>
              <w:t xml:space="preserve"> lower boundary at 600 m (1,960 </w:t>
            </w:r>
            <w:proofErr w:type="spellStart"/>
            <w:r>
              <w:rPr>
                <w:rFonts w:eastAsia="Times New Roman"/>
              </w:rPr>
              <w:t>ft</w:t>
            </w:r>
            <w:proofErr w:type="spellEnd"/>
            <w:proofErr w:type="gramStart"/>
            <w:r>
              <w:rPr>
                <w:rFonts w:eastAsia="Times New Roman"/>
              </w:rPr>
              <w:t>),</w:t>
            </w:r>
            <w:proofErr w:type="gramEnd"/>
            <w:r>
              <w:rPr>
                <w:rFonts w:eastAsia="Times New Roman"/>
              </w:rPr>
              <w:t xml:space="preserve"> coincides with the lower altitudinal limit of the mid-alpine belt of beech forest. On southern and southeastern slopes, the forest consists mainly of oak </w:t>
            </w:r>
            <w:r>
              <w:rPr>
                <w:rFonts w:eastAsia="Times New Roman"/>
                <w:i/>
                <w:iCs/>
              </w:rPr>
              <w:t xml:space="preserve">Quercus </w:t>
            </w:r>
            <w:proofErr w:type="spellStart"/>
            <w:r>
              <w:rPr>
                <w:rFonts w:eastAsia="Times New Roman"/>
                <w:i/>
                <w:iCs/>
              </w:rPr>
              <w:t>iberica</w:t>
            </w:r>
            <w:proofErr w:type="spellEnd"/>
            <w:r>
              <w:rPr>
                <w:rFonts w:eastAsia="Times New Roman"/>
              </w:rPr>
              <w:t xml:space="preserve">, mixed with hornbeam </w:t>
            </w:r>
            <w:proofErr w:type="spellStart"/>
            <w:r>
              <w:rPr>
                <w:rFonts w:eastAsia="Times New Roman"/>
                <w:i/>
                <w:iCs/>
              </w:rPr>
              <w:t>Carpinus</w:t>
            </w:r>
            <w:proofErr w:type="spellEnd"/>
            <w:r>
              <w:rPr>
                <w:rFonts w:eastAsia="Times New Roman"/>
                <w:i/>
                <w:iCs/>
              </w:rPr>
              <w:t xml:space="preserve"> </w:t>
            </w:r>
            <w:proofErr w:type="spellStart"/>
            <w:r>
              <w:rPr>
                <w:rFonts w:eastAsia="Times New Roman"/>
                <w:i/>
                <w:iCs/>
              </w:rPr>
              <w:t>orientalis</w:t>
            </w:r>
            <w:proofErr w:type="spellEnd"/>
            <w:r>
              <w:rPr>
                <w:rFonts w:eastAsia="Times New Roman"/>
              </w:rPr>
              <w:t xml:space="preserve"> and yew </w:t>
            </w:r>
            <w:proofErr w:type="spellStart"/>
            <w:r>
              <w:rPr>
                <w:rFonts w:eastAsia="Times New Roman"/>
                <w:i/>
                <w:iCs/>
              </w:rPr>
              <w:t>Taxus</w:t>
            </w:r>
            <w:proofErr w:type="spellEnd"/>
            <w:r>
              <w:rPr>
                <w:rFonts w:eastAsia="Times New Roman"/>
                <w:i/>
                <w:iCs/>
              </w:rPr>
              <w:t xml:space="preserve"> </w:t>
            </w:r>
            <w:proofErr w:type="spellStart"/>
            <w:r>
              <w:rPr>
                <w:rFonts w:eastAsia="Times New Roman"/>
                <w:i/>
                <w:iCs/>
              </w:rPr>
              <w:t>baccata</w:t>
            </w:r>
            <w:proofErr w:type="spellEnd"/>
            <w:r>
              <w:rPr>
                <w:rFonts w:eastAsia="Times New Roman"/>
              </w:rPr>
              <w:t xml:space="preserve">. Shrubby rhododendrons and profusely growing herbs give the forest a park-like appearance. Cranesbills </w:t>
            </w:r>
            <w:r>
              <w:rPr>
                <w:rFonts w:eastAsia="Times New Roman"/>
                <w:i/>
                <w:iCs/>
              </w:rPr>
              <w:t xml:space="preserve">Geranium </w:t>
            </w:r>
            <w:proofErr w:type="spellStart"/>
            <w:r>
              <w:rPr>
                <w:rFonts w:eastAsia="Times New Roman"/>
                <w:i/>
                <w:iCs/>
              </w:rPr>
              <w:t>platypetalum</w:t>
            </w:r>
            <w:proofErr w:type="spellEnd"/>
            <w:r>
              <w:rPr>
                <w:rFonts w:eastAsia="Times New Roman"/>
              </w:rPr>
              <w:t xml:space="preserve"> and </w:t>
            </w:r>
            <w:r>
              <w:rPr>
                <w:rFonts w:eastAsia="Times New Roman"/>
                <w:i/>
                <w:iCs/>
              </w:rPr>
              <w:t xml:space="preserve">G. </w:t>
            </w:r>
            <w:proofErr w:type="spellStart"/>
            <w:r>
              <w:rPr>
                <w:rFonts w:eastAsia="Times New Roman"/>
                <w:i/>
                <w:iCs/>
              </w:rPr>
              <w:t>ibericum</w:t>
            </w:r>
            <w:proofErr w:type="spellEnd"/>
            <w:r>
              <w:rPr>
                <w:rFonts w:eastAsia="Times New Roman"/>
              </w:rPr>
              <w:t xml:space="preserve"> abound in the subalpine meadows, while Bishop’s </w:t>
            </w:r>
            <w:proofErr w:type="spellStart"/>
            <w:r>
              <w:rPr>
                <w:rFonts w:eastAsia="Times New Roman"/>
              </w:rPr>
              <w:t>wort</w:t>
            </w:r>
            <w:proofErr w:type="spellEnd"/>
            <w:r>
              <w:rPr>
                <w:rFonts w:eastAsia="Times New Roman"/>
              </w:rPr>
              <w:t xml:space="preserve"> </w:t>
            </w:r>
            <w:proofErr w:type="spellStart"/>
            <w:r>
              <w:rPr>
                <w:rFonts w:eastAsia="Times New Roman"/>
                <w:i/>
                <w:iCs/>
              </w:rPr>
              <w:t>Stachys</w:t>
            </w:r>
            <w:proofErr w:type="spellEnd"/>
            <w:r>
              <w:rPr>
                <w:rFonts w:eastAsia="Times New Roman"/>
                <w:i/>
                <w:iCs/>
              </w:rPr>
              <w:t xml:space="preserve"> </w:t>
            </w:r>
            <w:proofErr w:type="spellStart"/>
            <w:r>
              <w:rPr>
                <w:rFonts w:eastAsia="Times New Roman"/>
                <w:i/>
                <w:iCs/>
              </w:rPr>
              <w:t>macrantha</w:t>
            </w:r>
            <w:proofErr w:type="spellEnd"/>
            <w:r>
              <w:rPr>
                <w:rFonts w:eastAsia="Times New Roman"/>
              </w:rPr>
              <w:t xml:space="preserve">, anemone </w:t>
            </w:r>
            <w:proofErr w:type="spellStart"/>
            <w:r>
              <w:rPr>
                <w:rFonts w:eastAsia="Times New Roman"/>
                <w:i/>
                <w:iCs/>
              </w:rPr>
              <w:t>Anemonastrum</w:t>
            </w:r>
            <w:proofErr w:type="spellEnd"/>
            <w:r>
              <w:rPr>
                <w:rFonts w:eastAsia="Times New Roman"/>
                <w:i/>
                <w:iCs/>
              </w:rPr>
              <w:t xml:space="preserve"> </w:t>
            </w:r>
            <w:proofErr w:type="spellStart"/>
            <w:r>
              <w:rPr>
                <w:rFonts w:eastAsia="Times New Roman"/>
                <w:i/>
                <w:iCs/>
              </w:rPr>
              <w:t>fasciculatum</w:t>
            </w:r>
            <w:proofErr w:type="spellEnd"/>
            <w:r>
              <w:rPr>
                <w:rFonts w:eastAsia="Times New Roman"/>
              </w:rPr>
              <w:t xml:space="preserve"> and false hellebore </w:t>
            </w:r>
            <w:proofErr w:type="spellStart"/>
            <w:r>
              <w:rPr>
                <w:rFonts w:eastAsia="Times New Roman"/>
                <w:i/>
                <w:iCs/>
              </w:rPr>
              <w:t>Veratrum</w:t>
            </w:r>
            <w:proofErr w:type="spellEnd"/>
            <w:r>
              <w:rPr>
                <w:rFonts w:eastAsia="Times New Roman"/>
                <w:i/>
                <w:iCs/>
              </w:rPr>
              <w:t xml:space="preserve"> </w:t>
            </w:r>
            <w:proofErr w:type="spellStart"/>
            <w:r>
              <w:rPr>
                <w:rFonts w:eastAsia="Times New Roman"/>
                <w:i/>
                <w:iCs/>
              </w:rPr>
              <w:t>lobelianum</w:t>
            </w:r>
            <w:proofErr w:type="spellEnd"/>
            <w:r>
              <w:rPr>
                <w:rFonts w:eastAsia="Times New Roman"/>
              </w:rPr>
              <w:t xml:space="preserve"> are prolific in the higher mountain grasslands. False hellebore is a tall (100-180 cm/3.2-5.9 </w:t>
            </w:r>
            <w:proofErr w:type="spellStart"/>
            <w:r>
              <w:rPr>
                <w:rFonts w:eastAsia="Times New Roman"/>
              </w:rPr>
              <w:t>ft</w:t>
            </w:r>
            <w:proofErr w:type="spellEnd"/>
            <w:r>
              <w:rPr>
                <w:rFonts w:eastAsia="Times New Roman"/>
              </w:rPr>
              <w:t xml:space="preserve">) perennial, with leaves 60-70 cm (2-2.3 </w:t>
            </w:r>
            <w:proofErr w:type="spellStart"/>
            <w:r>
              <w:rPr>
                <w:rFonts w:eastAsia="Times New Roman"/>
              </w:rPr>
              <w:t>ft</w:t>
            </w:r>
            <w:proofErr w:type="spellEnd"/>
            <w:r>
              <w:rPr>
                <w:rFonts w:eastAsia="Times New Roman"/>
              </w:rPr>
              <w:t xml:space="preserve">) long and 20-30 cm (0.6-1.0 </w:t>
            </w:r>
            <w:proofErr w:type="spellStart"/>
            <w:r>
              <w:rPr>
                <w:rFonts w:eastAsia="Times New Roman"/>
              </w:rPr>
              <w:t>ft</w:t>
            </w:r>
            <w:proofErr w:type="spellEnd"/>
            <w:r>
              <w:rPr>
                <w:rFonts w:eastAsia="Times New Roman"/>
              </w:rPr>
              <w:t xml:space="preserve">) wide. It is an attractive plant, but the rhizomatous rootstock is very poisonous. </w:t>
            </w:r>
            <w:proofErr w:type="spellStart"/>
            <w:r>
              <w:rPr>
                <w:rFonts w:eastAsia="Times New Roman"/>
                <w:i/>
                <w:iCs/>
              </w:rPr>
              <w:t>Primula</w:t>
            </w:r>
            <w:proofErr w:type="spellEnd"/>
            <w:r>
              <w:rPr>
                <w:rFonts w:eastAsia="Times New Roman"/>
                <w:i/>
                <w:iCs/>
              </w:rPr>
              <w:t xml:space="preserve"> </w:t>
            </w:r>
            <w:proofErr w:type="spellStart"/>
            <w:r>
              <w:rPr>
                <w:rFonts w:eastAsia="Times New Roman"/>
                <w:i/>
                <w:iCs/>
              </w:rPr>
              <w:t>juliae</w:t>
            </w:r>
            <w:proofErr w:type="spellEnd"/>
            <w:r>
              <w:rPr>
                <w:rFonts w:eastAsia="Times New Roman"/>
              </w:rPr>
              <w:t xml:space="preserve"> often grows on damp rocks and another primrose with pale yellow flowers </w:t>
            </w:r>
            <w:proofErr w:type="spellStart"/>
            <w:r>
              <w:rPr>
                <w:rFonts w:eastAsia="Times New Roman"/>
                <w:i/>
                <w:iCs/>
              </w:rPr>
              <w:t>Primula</w:t>
            </w:r>
            <w:proofErr w:type="spellEnd"/>
            <w:r>
              <w:rPr>
                <w:rFonts w:eastAsia="Times New Roman"/>
                <w:i/>
                <w:iCs/>
              </w:rPr>
              <w:t xml:space="preserve"> </w:t>
            </w:r>
            <w:proofErr w:type="spellStart"/>
            <w:r>
              <w:rPr>
                <w:rFonts w:eastAsia="Times New Roman"/>
                <w:i/>
                <w:iCs/>
              </w:rPr>
              <w:t>ruprechtii</w:t>
            </w:r>
            <w:proofErr w:type="spellEnd"/>
            <w:r>
              <w:rPr>
                <w:rFonts w:eastAsia="Times New Roman"/>
              </w:rPr>
              <w:t xml:space="preserve"> thrives at the edges of melting snowdrifts. </w:t>
            </w:r>
            <w:proofErr w:type="spellStart"/>
            <w:r>
              <w:rPr>
                <w:rFonts w:eastAsia="Times New Roman"/>
                <w:i/>
                <w:iCs/>
              </w:rPr>
              <w:t>Swertia</w:t>
            </w:r>
            <w:proofErr w:type="spellEnd"/>
            <w:r>
              <w:rPr>
                <w:rFonts w:eastAsia="Times New Roman"/>
                <w:i/>
                <w:iCs/>
              </w:rPr>
              <w:t xml:space="preserve"> </w:t>
            </w:r>
            <w:proofErr w:type="spellStart"/>
            <w:r>
              <w:rPr>
                <w:rFonts w:eastAsia="Times New Roman"/>
                <w:i/>
                <w:iCs/>
              </w:rPr>
              <w:t>iberica</w:t>
            </w:r>
            <w:proofErr w:type="spellEnd"/>
            <w:r>
              <w:rPr>
                <w:rFonts w:eastAsia="Times New Roman"/>
              </w:rPr>
              <w:t xml:space="preserve"> with its pale yellow or pale blue </w:t>
            </w:r>
            <w:proofErr w:type="gramStart"/>
            <w:r>
              <w:rPr>
                <w:rFonts w:eastAsia="Times New Roman"/>
              </w:rPr>
              <w:t>flowers,</w:t>
            </w:r>
            <w:proofErr w:type="gramEnd"/>
            <w:r>
              <w:rPr>
                <w:rFonts w:eastAsia="Times New Roman"/>
              </w:rPr>
              <w:t xml:space="preserve"> is seen at its abundant best in alpine carpets. Mounded beds of members of the pink (carnation) family, such as </w:t>
            </w:r>
            <w:hyperlink r:id="rId7" w:history="1">
              <w:r>
                <w:rPr>
                  <w:rStyle w:val="Hyperlink"/>
                  <w:rFonts w:eastAsia="Times New Roman"/>
                  <w:i/>
                  <w:iCs/>
                </w:rPr>
                <w:t xml:space="preserve">Dianthus </w:t>
              </w:r>
              <w:proofErr w:type="spellStart"/>
              <w:r>
                <w:rPr>
                  <w:rStyle w:val="Hyperlink"/>
                  <w:rFonts w:eastAsia="Times New Roman"/>
                  <w:i/>
                  <w:iCs/>
                </w:rPr>
                <w:t>caucaseus</w:t>
              </w:r>
              <w:proofErr w:type="spellEnd"/>
            </w:hyperlink>
            <w:r>
              <w:rPr>
                <w:rFonts w:eastAsia="Times New Roman"/>
              </w:rPr>
              <w:t xml:space="preserve"> and </w:t>
            </w:r>
            <w:r>
              <w:rPr>
                <w:rFonts w:eastAsia="Times New Roman"/>
                <w:i/>
                <w:iCs/>
              </w:rPr>
              <w:t xml:space="preserve">Gypsophila </w:t>
            </w:r>
            <w:proofErr w:type="spellStart"/>
            <w:r>
              <w:rPr>
                <w:rFonts w:eastAsia="Times New Roman"/>
                <w:i/>
                <w:iCs/>
              </w:rPr>
              <w:t>tenuifolia</w:t>
            </w:r>
            <w:proofErr w:type="spellEnd"/>
            <w:r>
              <w:rPr>
                <w:rFonts w:eastAsia="Times New Roman"/>
              </w:rPr>
              <w:t xml:space="preserve">, are found on rocks in the alpine and subalpine belts of these reserves. The giant hogweed </w:t>
            </w:r>
            <w:proofErr w:type="spellStart"/>
            <w:r>
              <w:rPr>
                <w:rFonts w:eastAsia="Times New Roman"/>
                <w:i/>
                <w:iCs/>
              </w:rPr>
              <w:t>Heracleum</w:t>
            </w:r>
            <w:proofErr w:type="spellEnd"/>
            <w:r>
              <w:rPr>
                <w:rFonts w:eastAsia="Times New Roman"/>
              </w:rPr>
              <w:t xml:space="preserve"> (mostly </w:t>
            </w:r>
            <w:r>
              <w:rPr>
                <w:rFonts w:eastAsia="Times New Roman"/>
                <w:i/>
                <w:iCs/>
              </w:rPr>
              <w:t xml:space="preserve">H. </w:t>
            </w:r>
            <w:proofErr w:type="spellStart"/>
            <w:r>
              <w:rPr>
                <w:rFonts w:eastAsia="Times New Roman"/>
                <w:i/>
                <w:iCs/>
              </w:rPr>
              <w:t>sosnowskyi</w:t>
            </w:r>
            <w:proofErr w:type="spellEnd"/>
            <w:r>
              <w:rPr>
                <w:rFonts w:eastAsia="Times New Roman"/>
              </w:rPr>
              <w:t xml:space="preserve">) should be mentioned here, because it is so widespread among the many species of subalpine herb vegetation. </w:t>
            </w:r>
          </w:p>
          <w:p w:rsidR="00EC476A" w:rsidRDefault="00EC476A">
            <w:pPr>
              <w:pStyle w:val="NormalWeb"/>
            </w:pPr>
            <w:r>
              <w:t xml:space="preserve">Part of </w:t>
            </w:r>
            <w:proofErr w:type="spellStart"/>
            <w:r>
              <w:t>Azerbijan</w:t>
            </w:r>
            <w:proofErr w:type="spellEnd"/>
            <w:r>
              <w:t xml:space="preserve"> in the southeastern </w:t>
            </w:r>
            <w:proofErr w:type="spellStart"/>
            <w:r>
              <w:t>Transcaucasus</w:t>
            </w:r>
            <w:proofErr w:type="spellEnd"/>
            <w:r>
              <w:t xml:space="preserve"> belongs to the </w:t>
            </w:r>
            <w:proofErr w:type="spellStart"/>
            <w:r>
              <w:t>Irano-Turanian</w:t>
            </w:r>
            <w:proofErr w:type="spellEnd"/>
            <w:r>
              <w:t xml:space="preserve"> Floristic Region, according to </w:t>
            </w:r>
            <w:proofErr w:type="spellStart"/>
            <w:r>
              <w:t>Takhtajan</w:t>
            </w:r>
            <w:proofErr w:type="spellEnd"/>
            <w:r>
              <w:t xml:space="preserve">, and consists of several provinces. These include the Lenkoran Lowland, the mountainous, forested Talysh in the Hyrcanian Province, </w:t>
            </w:r>
            <w:proofErr w:type="gramStart"/>
            <w:r>
              <w:t>the</w:t>
            </w:r>
            <w:proofErr w:type="gramEnd"/>
            <w:r>
              <w:t xml:space="preserve"> arid </w:t>
            </w:r>
            <w:proofErr w:type="spellStart"/>
            <w:r>
              <w:t>Zuvand</w:t>
            </w:r>
            <w:proofErr w:type="spellEnd"/>
            <w:r>
              <w:t xml:space="preserve"> in the </w:t>
            </w:r>
            <w:proofErr w:type="spellStart"/>
            <w:r>
              <w:t>Armeno</w:t>
            </w:r>
            <w:proofErr w:type="spellEnd"/>
            <w:r>
              <w:t xml:space="preserve">-Iranian Province, as well as the </w:t>
            </w:r>
            <w:proofErr w:type="spellStart"/>
            <w:r>
              <w:t>Diabar</w:t>
            </w:r>
            <w:proofErr w:type="spellEnd"/>
            <w:r>
              <w:t xml:space="preserve"> depression, part of </w:t>
            </w:r>
            <w:proofErr w:type="spellStart"/>
            <w:r>
              <w:t>Zuvand</w:t>
            </w:r>
            <w:proofErr w:type="spellEnd"/>
            <w:r>
              <w:t xml:space="preserve">, in the </w:t>
            </w:r>
            <w:proofErr w:type="spellStart"/>
            <w:r>
              <w:t>Atropatenian</w:t>
            </w:r>
            <w:proofErr w:type="spellEnd"/>
            <w:r>
              <w:t xml:space="preserve"> </w:t>
            </w:r>
            <w:proofErr w:type="spellStart"/>
            <w:r>
              <w:t>Subprovince</w:t>
            </w:r>
            <w:proofErr w:type="spellEnd"/>
            <w:r>
              <w:t xml:space="preserve">. </w:t>
            </w:r>
          </w:p>
          <w:p w:rsidR="00EC476A" w:rsidRDefault="00EC476A">
            <w:pPr>
              <w:pStyle w:val="NormalWeb"/>
            </w:pPr>
            <w:r>
              <w:t xml:space="preserve">South of the city of Baku, the capital of </w:t>
            </w:r>
            <w:proofErr w:type="spellStart"/>
            <w:r>
              <w:t>Azerbijan</w:t>
            </w:r>
            <w:proofErr w:type="spellEnd"/>
            <w:r>
              <w:t xml:space="preserve">, are the Lenkoran Lowlands and Talysh, and the latter especially merits botanical exploration. From Baku to Lenkoran the distance by road is about 250 km (155 mi). The road first crosses semi-desert and then the </w:t>
            </w:r>
            <w:proofErr w:type="spellStart"/>
            <w:r>
              <w:t>Shirvan</w:t>
            </w:r>
            <w:proofErr w:type="spellEnd"/>
            <w:r>
              <w:t xml:space="preserve"> steppe, before continuing into the Kura watershed. The Lenkoran Lowlands form a sloping plain to the Caspian sea coast. Until comparatively recently these lowland slopes were covered by forest, which now exists only in a reserve. The Talysh Mountains have become "wooded islands" but conifers are usually absent from these </w:t>
            </w:r>
            <w:proofErr w:type="spellStart"/>
            <w:r>
              <w:t>montane</w:t>
            </w:r>
            <w:proofErr w:type="spellEnd"/>
            <w:r>
              <w:t xml:space="preserve"> forests. The </w:t>
            </w:r>
            <w:proofErr w:type="spellStart"/>
            <w:r>
              <w:t>Lerik</w:t>
            </w:r>
            <w:proofErr w:type="spellEnd"/>
            <w:r>
              <w:t xml:space="preserve"> road leads from Lenkoran to the Talysh through the Lenkoran-</w:t>
            </w:r>
            <w:proofErr w:type="spellStart"/>
            <w:r>
              <w:t>Tshay</w:t>
            </w:r>
            <w:proofErr w:type="spellEnd"/>
            <w:r>
              <w:t xml:space="preserve"> River valley. Oak (</w:t>
            </w:r>
            <w:r>
              <w:rPr>
                <w:i/>
                <w:iCs/>
              </w:rPr>
              <w:t xml:space="preserve">Quercus </w:t>
            </w:r>
            <w:proofErr w:type="spellStart"/>
            <w:r>
              <w:rPr>
                <w:i/>
                <w:iCs/>
              </w:rPr>
              <w:t>castaneifolia</w:t>
            </w:r>
            <w:proofErr w:type="spellEnd"/>
            <w:r>
              <w:t xml:space="preserve">) forest dominates the lower slopes with these lofty trees </w:t>
            </w:r>
          </w:p>
          <w:tbl>
            <w:tblPr>
              <w:tblpPr w:leftFromText="60" w:rightFromText="6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290"/>
            </w:tblGrid>
            <w:tr w:rsidR="00EC476A">
              <w:trPr>
                <w:tblCellSpacing w:w="15" w:type="dxa"/>
              </w:trPr>
              <w:tc>
                <w:tcPr>
                  <w:tcW w:w="0" w:type="auto"/>
                  <w:hideMark/>
                </w:tcPr>
                <w:p w:rsidR="00EC476A" w:rsidRDefault="00EC476A">
                  <w:pPr>
                    <w:rPr>
                      <w:rFonts w:ascii="Times" w:eastAsia="Times New Roman" w:hAnsi="Times"/>
                    </w:rPr>
                  </w:pPr>
                  <w:r>
                    <w:rPr>
                      <w:rFonts w:eastAsia="Times New Roman"/>
                      <w:noProof/>
                      <w:color w:val="0000FF"/>
                    </w:rPr>
                    <w:lastRenderedPageBreak/>
                    <w:drawing>
                      <wp:inline distT="0" distB="0" distL="0" distR="0">
                        <wp:extent cx="2032000" cy="1757680"/>
                        <wp:effectExtent l="0" t="0" r="0" b="0"/>
                        <wp:docPr id="2" name="Picture 2" descr="ternbergia fisheriana">
                          <a:hlinkClick xmlns:a="http://schemas.openxmlformats.org/drawingml/2006/main" r:id="rId8"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nbergia fisheriana">
                                  <a:hlinkClick r:id="rId8" tgtFrame="&quot;new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757680"/>
                                </a:xfrm>
                                <a:prstGeom prst="rect">
                                  <a:avLst/>
                                </a:prstGeom>
                                <a:noFill/>
                                <a:ln>
                                  <a:noFill/>
                                </a:ln>
                              </pic:spPr>
                            </pic:pic>
                          </a:graphicData>
                        </a:graphic>
                      </wp:inline>
                    </w:drawing>
                  </w:r>
                </w:p>
              </w:tc>
            </w:tr>
          </w:tbl>
          <w:p w:rsidR="00EC476A" w:rsidRDefault="00EC476A">
            <w:pPr>
              <w:pStyle w:val="NormalWeb"/>
            </w:pPr>
            <w:proofErr w:type="gramStart"/>
            <w:r>
              <w:t>bearing</w:t>
            </w:r>
            <w:proofErr w:type="gramEnd"/>
            <w:r>
              <w:t xml:space="preserve"> large, greyish-green leaves. Other woodland species include hornbeam </w:t>
            </w:r>
            <w:proofErr w:type="spellStart"/>
            <w:r>
              <w:rPr>
                <w:i/>
                <w:iCs/>
              </w:rPr>
              <w:t>Carpinus</w:t>
            </w:r>
            <w:proofErr w:type="spellEnd"/>
            <w:r>
              <w:rPr>
                <w:i/>
                <w:iCs/>
              </w:rPr>
              <w:t xml:space="preserve"> </w:t>
            </w:r>
            <w:proofErr w:type="spellStart"/>
            <w:r>
              <w:rPr>
                <w:i/>
                <w:iCs/>
              </w:rPr>
              <w:t>orientalis</w:t>
            </w:r>
            <w:proofErr w:type="spellEnd"/>
            <w:r>
              <w:t xml:space="preserve">, silk tree </w:t>
            </w:r>
            <w:r>
              <w:rPr>
                <w:i/>
                <w:iCs/>
              </w:rPr>
              <w:t>Albizia julibrissin</w:t>
            </w:r>
            <w:r>
              <w:t xml:space="preserve">, fig </w:t>
            </w:r>
            <w:r>
              <w:rPr>
                <w:i/>
                <w:iCs/>
              </w:rPr>
              <w:t xml:space="preserve">Ficus </w:t>
            </w:r>
            <w:proofErr w:type="spellStart"/>
            <w:r>
              <w:rPr>
                <w:i/>
                <w:iCs/>
              </w:rPr>
              <w:t>carica</w:t>
            </w:r>
            <w:proofErr w:type="spellEnd"/>
            <w:r>
              <w:t xml:space="preserve">, honey locust </w:t>
            </w:r>
            <w:proofErr w:type="spellStart"/>
            <w:r>
              <w:rPr>
                <w:i/>
                <w:iCs/>
              </w:rPr>
              <w:t>Gleditsia</w:t>
            </w:r>
            <w:proofErr w:type="spellEnd"/>
            <w:r>
              <w:rPr>
                <w:i/>
                <w:iCs/>
              </w:rPr>
              <w:t xml:space="preserve"> </w:t>
            </w:r>
            <w:proofErr w:type="spellStart"/>
            <w:r>
              <w:rPr>
                <w:i/>
                <w:iCs/>
              </w:rPr>
              <w:t>caspia</w:t>
            </w:r>
            <w:proofErr w:type="spellEnd"/>
            <w:r>
              <w:t xml:space="preserve"> and pomegranate </w:t>
            </w:r>
            <w:proofErr w:type="spellStart"/>
            <w:r>
              <w:rPr>
                <w:i/>
                <w:iCs/>
              </w:rPr>
              <w:t>Punica</w:t>
            </w:r>
            <w:proofErr w:type="spellEnd"/>
            <w:r>
              <w:rPr>
                <w:i/>
                <w:iCs/>
              </w:rPr>
              <w:t xml:space="preserve"> </w:t>
            </w:r>
            <w:proofErr w:type="spellStart"/>
            <w:r>
              <w:rPr>
                <w:i/>
                <w:iCs/>
              </w:rPr>
              <w:t>granatum</w:t>
            </w:r>
            <w:proofErr w:type="spellEnd"/>
            <w:r>
              <w:t xml:space="preserve">. </w:t>
            </w:r>
            <w:r w:rsidRPr="00EC476A">
              <w:rPr>
                <w:highlight w:val="yellow"/>
              </w:rPr>
              <w:t xml:space="preserve">Persian ironwood </w:t>
            </w:r>
            <w:r w:rsidRPr="00EC476A">
              <w:rPr>
                <w:i/>
                <w:iCs/>
                <w:highlight w:val="yellow"/>
              </w:rPr>
              <w:t>Parrotia persica</w:t>
            </w:r>
            <w:r w:rsidRPr="00EC476A">
              <w:rPr>
                <w:highlight w:val="yellow"/>
              </w:rPr>
              <w:t>, a member of a monotypic genus, endemic to Talysh and the northern Iran, also grows here, and when it forms a nearly pure stand, the overall impression is of an enchanted forest, trunks and branches fusing and growing together, lichens hanging from the branches, and the forest floor covered with dead leaves. Heavy shade dominates the floor of these tall forests and undergrowth is almost absent. In autumn, a spectacular display is created by the color change of its foliage, as the ironwood's yellow leaves become faintly tinged with lilac. The Talysh forests have been called "Hyrcanian" by botanists as an indication of their age (</w:t>
            </w:r>
            <w:proofErr w:type="spellStart"/>
            <w:r w:rsidRPr="00EC476A">
              <w:rPr>
                <w:highlight w:val="yellow"/>
              </w:rPr>
              <w:t>Grossheim</w:t>
            </w:r>
            <w:proofErr w:type="spellEnd"/>
            <w:r w:rsidRPr="00EC476A">
              <w:rPr>
                <w:highlight w:val="yellow"/>
              </w:rPr>
              <w:t xml:space="preserve">, 1960). The Hyrcanian Sea filled an ancient large basin and was the predecessor of today’s smaller Caspian Sea. However, the Talysh mountains were never submerged, and this is why the endemic </w:t>
            </w:r>
            <w:r w:rsidRPr="00EC476A">
              <w:rPr>
                <w:i/>
                <w:iCs/>
                <w:highlight w:val="yellow"/>
              </w:rPr>
              <w:t>Parrotia persica</w:t>
            </w:r>
            <w:r w:rsidRPr="00EC476A">
              <w:rPr>
                <w:highlight w:val="yellow"/>
              </w:rPr>
              <w:t xml:space="preserve"> and </w:t>
            </w:r>
            <w:proofErr w:type="spellStart"/>
            <w:r w:rsidRPr="00EC476A">
              <w:rPr>
                <w:highlight w:val="yellow"/>
              </w:rPr>
              <w:t>relictual</w:t>
            </w:r>
            <w:proofErr w:type="spellEnd"/>
            <w:r w:rsidRPr="00EC476A">
              <w:rPr>
                <w:highlight w:val="yellow"/>
              </w:rPr>
              <w:t xml:space="preserve"> </w:t>
            </w:r>
            <w:r w:rsidRPr="00EC476A">
              <w:rPr>
                <w:i/>
                <w:iCs/>
                <w:highlight w:val="yellow"/>
              </w:rPr>
              <w:t xml:space="preserve">Quercus </w:t>
            </w:r>
            <w:proofErr w:type="spellStart"/>
            <w:r w:rsidRPr="00EC476A">
              <w:rPr>
                <w:i/>
                <w:iCs/>
                <w:highlight w:val="yellow"/>
              </w:rPr>
              <w:t>castaneifolia</w:t>
            </w:r>
            <w:proofErr w:type="spellEnd"/>
            <w:r w:rsidRPr="00EC476A">
              <w:rPr>
                <w:highlight w:val="yellow"/>
              </w:rPr>
              <w:t xml:space="preserve"> and </w:t>
            </w:r>
            <w:proofErr w:type="spellStart"/>
            <w:r w:rsidRPr="00EC476A">
              <w:rPr>
                <w:i/>
                <w:iCs/>
                <w:highlight w:val="yellow"/>
              </w:rPr>
              <w:t>Danae</w:t>
            </w:r>
            <w:proofErr w:type="spellEnd"/>
            <w:r w:rsidRPr="00EC476A">
              <w:rPr>
                <w:i/>
                <w:iCs/>
                <w:highlight w:val="yellow"/>
              </w:rPr>
              <w:t xml:space="preserve"> </w:t>
            </w:r>
            <w:proofErr w:type="spellStart"/>
            <w:r w:rsidRPr="00EC476A">
              <w:rPr>
                <w:i/>
                <w:iCs/>
                <w:highlight w:val="yellow"/>
              </w:rPr>
              <w:t>racemosa</w:t>
            </w:r>
            <w:proofErr w:type="spellEnd"/>
            <w:r w:rsidRPr="00EC476A">
              <w:rPr>
                <w:highlight w:val="yellow"/>
              </w:rPr>
              <w:t xml:space="preserve"> (Alexandrian laurel) have persisted here since the early Tertiary period.</w:t>
            </w:r>
            <w:r>
              <w:t xml:space="preserve"> </w:t>
            </w:r>
          </w:p>
          <w:p w:rsidR="00EC476A" w:rsidRDefault="00EC476A">
            <w:pPr>
              <w:pStyle w:val="NormalWeb"/>
            </w:pPr>
            <w:r>
              <w:t xml:space="preserve">The Talysh herbaceous endemics are of considerable horticultural interest because of their highly attractive nature. The most impressive perennials are the large-flowered </w:t>
            </w:r>
            <w:proofErr w:type="spellStart"/>
            <w:r>
              <w:rPr>
                <w:i/>
                <w:iCs/>
              </w:rPr>
              <w:t>Iridodictyum</w:t>
            </w:r>
            <w:proofErr w:type="spellEnd"/>
            <w:r>
              <w:rPr>
                <w:i/>
                <w:iCs/>
              </w:rPr>
              <w:t xml:space="preserve"> </w:t>
            </w:r>
            <w:proofErr w:type="spellStart"/>
            <w:r>
              <w:rPr>
                <w:i/>
                <w:iCs/>
              </w:rPr>
              <w:t>hyrcanum</w:t>
            </w:r>
            <w:proofErr w:type="spellEnd"/>
            <w:r>
              <w:rPr>
                <w:i/>
                <w:iCs/>
              </w:rPr>
              <w:t xml:space="preserve"> [=Iris hyrcana]</w:t>
            </w:r>
            <w:r>
              <w:t xml:space="preserve">, a fragrant and showy white-flowered lily </w:t>
            </w:r>
          </w:p>
          <w:tbl>
            <w:tblPr>
              <w:tblpPr w:leftFromText="60" w:rightFromText="6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130"/>
            </w:tblGrid>
            <w:tr w:rsidR="00EC476A">
              <w:trPr>
                <w:tblCellSpacing w:w="15" w:type="dxa"/>
              </w:trPr>
              <w:tc>
                <w:tcPr>
                  <w:tcW w:w="0" w:type="auto"/>
                  <w:hideMark/>
                </w:tcPr>
                <w:p w:rsidR="00EC476A" w:rsidRDefault="00EC476A">
                  <w:pPr>
                    <w:rPr>
                      <w:rFonts w:ascii="Times" w:eastAsia="Times New Roman" w:hAnsi="Times"/>
                    </w:rPr>
                  </w:pPr>
                  <w:r>
                    <w:rPr>
                      <w:rFonts w:eastAsia="Times New Roman"/>
                      <w:noProof/>
                      <w:color w:val="0000FF"/>
                    </w:rPr>
                    <w:drawing>
                      <wp:inline distT="0" distB="0" distL="0" distR="0">
                        <wp:extent cx="1930400" cy="1625600"/>
                        <wp:effectExtent l="0" t="0" r="0" b="0"/>
                        <wp:docPr id="3" name="Picture 3" descr="ilium ledebourii">
                          <a:hlinkClick xmlns:a="http://schemas.openxmlformats.org/drawingml/2006/main" r:id="rId1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um ledebourii">
                                  <a:hlinkClick r:id="rId10" tgtFrame="&quot;new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0" cy="1625600"/>
                                </a:xfrm>
                                <a:prstGeom prst="rect">
                                  <a:avLst/>
                                </a:prstGeom>
                                <a:noFill/>
                                <a:ln>
                                  <a:noFill/>
                                </a:ln>
                              </pic:spPr>
                            </pic:pic>
                          </a:graphicData>
                        </a:graphic>
                      </wp:inline>
                    </w:drawing>
                  </w:r>
                </w:p>
              </w:tc>
            </w:tr>
          </w:tbl>
          <w:bookmarkEnd w:id="0"/>
          <w:p w:rsidR="00EC476A" w:rsidRDefault="00EC476A">
            <w:pPr>
              <w:pStyle w:val="NormalWeb"/>
            </w:pPr>
            <w:r>
              <w:fldChar w:fldCharType="begin"/>
            </w:r>
            <w:r>
              <w:instrText xml:space="preserve"> HYPERLINK "http://www.tropicos.org/Name/18405242" </w:instrText>
            </w:r>
            <w:r>
              <w:fldChar w:fldCharType="separate"/>
            </w:r>
            <w:proofErr w:type="spellStart"/>
            <w:r>
              <w:rPr>
                <w:rStyle w:val="Hyperlink"/>
                <w:i/>
                <w:iCs/>
              </w:rPr>
              <w:t>Lilium</w:t>
            </w:r>
            <w:proofErr w:type="spellEnd"/>
            <w:r>
              <w:rPr>
                <w:rStyle w:val="Hyperlink"/>
                <w:i/>
                <w:iCs/>
              </w:rPr>
              <w:t xml:space="preserve"> </w:t>
            </w:r>
            <w:proofErr w:type="spellStart"/>
            <w:r>
              <w:rPr>
                <w:rStyle w:val="Hyperlink"/>
                <w:i/>
                <w:iCs/>
              </w:rPr>
              <w:t>ledebourii</w:t>
            </w:r>
            <w:proofErr w:type="spellEnd"/>
            <w:r>
              <w:fldChar w:fldCharType="end"/>
            </w:r>
            <w:r>
              <w:t xml:space="preserve"> and a large, dark, vine-brown-flowered fritillary </w:t>
            </w:r>
            <w:proofErr w:type="spellStart"/>
            <w:r>
              <w:rPr>
                <w:i/>
                <w:iCs/>
              </w:rPr>
              <w:t>Fritillaria</w:t>
            </w:r>
            <w:proofErr w:type="spellEnd"/>
            <w:r>
              <w:rPr>
                <w:i/>
                <w:iCs/>
              </w:rPr>
              <w:t xml:space="preserve"> </w:t>
            </w:r>
            <w:proofErr w:type="spellStart"/>
            <w:r>
              <w:rPr>
                <w:i/>
                <w:iCs/>
              </w:rPr>
              <w:t>grandiflora</w:t>
            </w:r>
            <w:proofErr w:type="spellEnd"/>
            <w:r>
              <w:t xml:space="preserve">. The last was collected and described by A. A. </w:t>
            </w:r>
            <w:proofErr w:type="spellStart"/>
            <w:r>
              <w:t>Grossheim</w:t>
            </w:r>
            <w:proofErr w:type="spellEnd"/>
            <w:r>
              <w:t>, the prominent Russian, who called this fritillary the gem of Talysh flora (</w:t>
            </w:r>
            <w:proofErr w:type="spellStart"/>
            <w:r>
              <w:t>Grossheim</w:t>
            </w:r>
            <w:proofErr w:type="spellEnd"/>
            <w:r>
              <w:t xml:space="preserve">, 1960). The species is extremely rare in nature and in cultivation. The same is true of the blue-flowered </w:t>
            </w:r>
            <w:r>
              <w:rPr>
                <w:i/>
                <w:iCs/>
              </w:rPr>
              <w:t>Crocus polyanthus</w:t>
            </w:r>
            <w:r>
              <w:t xml:space="preserve">. More extensively distributed in Talysh are bulbous plants of the genera </w:t>
            </w:r>
            <w:proofErr w:type="spellStart"/>
            <w:r>
              <w:rPr>
                <w:i/>
                <w:iCs/>
              </w:rPr>
              <w:t>Muscari</w:t>
            </w:r>
            <w:proofErr w:type="spellEnd"/>
            <w:r>
              <w:rPr>
                <w:i/>
                <w:iCs/>
              </w:rPr>
              <w:t xml:space="preserve">, </w:t>
            </w:r>
            <w:proofErr w:type="spellStart"/>
            <w:r>
              <w:rPr>
                <w:i/>
                <w:iCs/>
              </w:rPr>
              <w:t>Gagea</w:t>
            </w:r>
            <w:proofErr w:type="spellEnd"/>
            <w:r>
              <w:rPr>
                <w:i/>
                <w:iCs/>
              </w:rPr>
              <w:t xml:space="preserve">, </w:t>
            </w:r>
            <w:proofErr w:type="spellStart"/>
            <w:r>
              <w:rPr>
                <w:i/>
                <w:iCs/>
              </w:rPr>
              <w:t>Tulipa</w:t>
            </w:r>
            <w:proofErr w:type="spellEnd"/>
            <w:r>
              <w:t xml:space="preserve"> and </w:t>
            </w:r>
            <w:proofErr w:type="spellStart"/>
            <w:r>
              <w:rPr>
                <w:i/>
                <w:iCs/>
              </w:rPr>
              <w:t>Pushkinia</w:t>
            </w:r>
            <w:proofErr w:type="spellEnd"/>
            <w:r>
              <w:t xml:space="preserve">; the last with pale-blue flowers was named after </w:t>
            </w:r>
            <w:proofErr w:type="spellStart"/>
            <w:r>
              <w:t>Mussin</w:t>
            </w:r>
            <w:proofErr w:type="spellEnd"/>
            <w:r>
              <w:t xml:space="preserve">-Pushkin, a noted Russian chemist and mineralogist, who collected this plant in 1802. The yellow-pink-flowered </w:t>
            </w:r>
            <w:proofErr w:type="spellStart"/>
            <w:r>
              <w:t>paeony</w:t>
            </w:r>
            <w:proofErr w:type="spellEnd"/>
            <w:r>
              <w:t xml:space="preserve"> </w:t>
            </w:r>
            <w:proofErr w:type="spellStart"/>
            <w:r>
              <w:rPr>
                <w:i/>
                <w:iCs/>
              </w:rPr>
              <w:t>Paeonia</w:t>
            </w:r>
            <w:proofErr w:type="spellEnd"/>
            <w:r>
              <w:rPr>
                <w:i/>
                <w:iCs/>
              </w:rPr>
              <w:t xml:space="preserve"> </w:t>
            </w:r>
            <w:proofErr w:type="spellStart"/>
            <w:r>
              <w:rPr>
                <w:i/>
                <w:iCs/>
              </w:rPr>
              <w:t>tomentosa</w:t>
            </w:r>
            <w:proofErr w:type="spellEnd"/>
            <w:r>
              <w:t xml:space="preserve">, followed by a scarlet poppy </w:t>
            </w:r>
            <w:proofErr w:type="spellStart"/>
            <w:r>
              <w:rPr>
                <w:i/>
                <w:iCs/>
              </w:rPr>
              <w:t>Papaver</w:t>
            </w:r>
            <w:proofErr w:type="spellEnd"/>
            <w:r>
              <w:rPr>
                <w:i/>
                <w:iCs/>
              </w:rPr>
              <w:t xml:space="preserve"> </w:t>
            </w:r>
            <w:proofErr w:type="spellStart"/>
            <w:r>
              <w:rPr>
                <w:i/>
                <w:iCs/>
              </w:rPr>
              <w:t>bracteatum</w:t>
            </w:r>
            <w:proofErr w:type="spellEnd"/>
            <w:r>
              <w:t xml:space="preserve"> are common in Talysh; </w:t>
            </w:r>
            <w:proofErr w:type="gramStart"/>
            <w:r>
              <w:t>their</w:t>
            </w:r>
            <w:proofErr w:type="gramEnd"/>
            <w:r>
              <w:t xml:space="preserve"> large and attractive flowers bloom in late April and early May. </w:t>
            </w:r>
            <w:proofErr w:type="spellStart"/>
            <w:r>
              <w:rPr>
                <w:i/>
                <w:iCs/>
              </w:rPr>
              <w:t>Phuopsis</w:t>
            </w:r>
            <w:proofErr w:type="spellEnd"/>
            <w:r>
              <w:rPr>
                <w:i/>
                <w:iCs/>
              </w:rPr>
              <w:t xml:space="preserve"> </w:t>
            </w:r>
            <w:proofErr w:type="spellStart"/>
            <w:r>
              <w:rPr>
                <w:i/>
                <w:iCs/>
              </w:rPr>
              <w:t>stylosa</w:t>
            </w:r>
            <w:proofErr w:type="spellEnd"/>
            <w:r>
              <w:t xml:space="preserve">, </w:t>
            </w:r>
            <w:proofErr w:type="gramStart"/>
            <w:r>
              <w:t>a</w:t>
            </w:r>
            <w:proofErr w:type="gramEnd"/>
            <w:r>
              <w:t xml:space="preserve"> herbaceous perennial with whorled leaves, produces terminal heads of bright pink flowers. In Talysh, this plant grows from the coastal lowlands up to the altitudinal limits of mountain forest and is spectacular when flowering in profusion. </w:t>
            </w:r>
          </w:p>
          <w:p w:rsidR="00EC476A" w:rsidRDefault="00EC476A">
            <w:pPr>
              <w:pStyle w:val="NormalWeb"/>
            </w:pPr>
            <w:r>
              <w:t xml:space="preserve">Because of its low rainfall, </w:t>
            </w:r>
            <w:proofErr w:type="spellStart"/>
            <w:r>
              <w:t>Zuvand's</w:t>
            </w:r>
            <w:proofErr w:type="spellEnd"/>
            <w:r>
              <w:t xml:space="preserve"> vegetation differs markedly from that of rest of Talysh. Many of its plants have special peculiarities to withstand long periods of drought. Most species of milk vetch (</w:t>
            </w:r>
            <w:proofErr w:type="spellStart"/>
            <w:r>
              <w:rPr>
                <w:i/>
                <w:iCs/>
              </w:rPr>
              <w:t>Astragalus</w:t>
            </w:r>
            <w:proofErr w:type="spellEnd"/>
            <w:r>
              <w:t>) and prickly thrift (</w:t>
            </w:r>
            <w:proofErr w:type="spellStart"/>
            <w:r>
              <w:rPr>
                <w:i/>
                <w:iCs/>
              </w:rPr>
              <w:t>Acantholimon</w:t>
            </w:r>
            <w:proofErr w:type="spellEnd"/>
            <w:r>
              <w:t xml:space="preserve">) form compact spiky cushions, while other grow only during the short, moist spring, e.g. bulbous plants. Here, in </w:t>
            </w:r>
            <w:proofErr w:type="spellStart"/>
            <w:r>
              <w:t>Zuvand</w:t>
            </w:r>
            <w:proofErr w:type="spellEnd"/>
            <w:r>
              <w:t xml:space="preserve">, species of iris and wild gladioli are of interest. The gladioli flowers vary very much in </w:t>
            </w:r>
            <w:proofErr w:type="spellStart"/>
            <w:r>
              <w:t>colour</w:t>
            </w:r>
            <w:proofErr w:type="spellEnd"/>
            <w:r>
              <w:t>, and can be bright pink, or lilac in the mountains, or deep lilac in arid habitats (</w:t>
            </w:r>
            <w:r>
              <w:rPr>
                <w:i/>
                <w:iCs/>
              </w:rPr>
              <w:t xml:space="preserve">Gladiolus </w:t>
            </w:r>
            <w:proofErr w:type="spellStart"/>
            <w:r>
              <w:rPr>
                <w:i/>
                <w:iCs/>
              </w:rPr>
              <w:t>atroviolaceus</w:t>
            </w:r>
            <w:proofErr w:type="spellEnd"/>
            <w:r>
              <w:t xml:space="preserve">). </w:t>
            </w:r>
          </w:p>
        </w:tc>
      </w:tr>
      <w:tr w:rsidR="00EC476A" w:rsidTr="00EC476A">
        <w:trPr>
          <w:tblCellSpacing w:w="0" w:type="dxa"/>
        </w:trPr>
        <w:tc>
          <w:tcPr>
            <w:tcW w:w="0" w:type="auto"/>
            <w:hideMark/>
          </w:tcPr>
          <w:p w:rsidR="00EC476A" w:rsidRDefault="00EC476A">
            <w:pPr>
              <w:jc w:val="center"/>
              <w:rPr>
                <w:rFonts w:ascii="Times" w:eastAsia="Times New Roman" w:hAnsi="Times"/>
              </w:rPr>
            </w:pPr>
            <w:hyperlink r:id="rId12" w:history="1">
              <w:r>
                <w:rPr>
                  <w:rStyle w:val="Hyperlink"/>
                  <w:rFonts w:eastAsia="Times New Roman"/>
                </w:rPr>
                <w:t>ORNAMENTAL PLANTS FROM RUSSIA</w:t>
              </w:r>
            </w:hyperlink>
          </w:p>
        </w:tc>
      </w:tr>
    </w:tbl>
    <w:p w:rsidR="00EC476A" w:rsidRDefault="00EC476A"/>
    <w:sectPr w:rsidR="00EC476A" w:rsidSect="001328E7">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6A"/>
    <w:rsid w:val="001328E7"/>
    <w:rsid w:val="007D386D"/>
    <w:rsid w:val="0091569E"/>
    <w:rsid w:val="00EC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DE1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5">
    <w:name w:val="heading 5"/>
    <w:basedOn w:val="Normal"/>
    <w:link w:val="Heading5Char"/>
    <w:uiPriority w:val="9"/>
    <w:qFormat/>
    <w:rsid w:val="00EC476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76A"/>
    <w:rPr>
      <w:color w:val="0000FF" w:themeColor="hyperlink"/>
      <w:u w:val="single"/>
    </w:rPr>
  </w:style>
  <w:style w:type="character" w:customStyle="1" w:styleId="Heading5Char">
    <w:name w:val="Heading 5 Char"/>
    <w:basedOn w:val="DefaultParagraphFont"/>
    <w:link w:val="Heading5"/>
    <w:uiPriority w:val="9"/>
    <w:rsid w:val="00EC476A"/>
    <w:rPr>
      <w:rFonts w:ascii="Times" w:hAnsi="Times"/>
      <w:b/>
      <w:bCs/>
      <w:sz w:val="20"/>
      <w:szCs w:val="20"/>
      <w:lang w:eastAsia="en-US"/>
    </w:rPr>
  </w:style>
  <w:style w:type="paragraph" w:styleId="NormalWeb">
    <w:name w:val="Normal (Web)"/>
    <w:basedOn w:val="Normal"/>
    <w:uiPriority w:val="99"/>
    <w:unhideWhenUsed/>
    <w:rsid w:val="00EC476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C47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C476A"/>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5">
    <w:name w:val="heading 5"/>
    <w:basedOn w:val="Normal"/>
    <w:link w:val="Heading5Char"/>
    <w:uiPriority w:val="9"/>
    <w:qFormat/>
    <w:rsid w:val="00EC476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76A"/>
    <w:rPr>
      <w:color w:val="0000FF" w:themeColor="hyperlink"/>
      <w:u w:val="single"/>
    </w:rPr>
  </w:style>
  <w:style w:type="character" w:customStyle="1" w:styleId="Heading5Char">
    <w:name w:val="Heading 5 Char"/>
    <w:basedOn w:val="DefaultParagraphFont"/>
    <w:link w:val="Heading5"/>
    <w:uiPriority w:val="9"/>
    <w:rsid w:val="00EC476A"/>
    <w:rPr>
      <w:rFonts w:ascii="Times" w:hAnsi="Times"/>
      <w:b/>
      <w:bCs/>
      <w:sz w:val="20"/>
      <w:szCs w:val="20"/>
      <w:lang w:eastAsia="en-US"/>
    </w:rPr>
  </w:style>
  <w:style w:type="paragraph" w:styleId="NormalWeb">
    <w:name w:val="Normal (Web)"/>
    <w:basedOn w:val="Normal"/>
    <w:uiPriority w:val="99"/>
    <w:unhideWhenUsed/>
    <w:rsid w:val="00EC476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C47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C476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mobot.org/MOBOT/research/georgia/Dianthuscaucaseus.shtml" TargetMode="External"/><Relationship Id="rId11"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8" Type="http://schemas.openxmlformats.org/officeDocument/2006/relationships/hyperlink" Target="http://www.mobot.org/MOBOT/Research/russia/images/Fig_21.jpg" TargetMode="External"/><Relationship Id="rId13" Type="http://schemas.openxmlformats.org/officeDocument/2006/relationships/fontTable" Target="fontTable.xml"/><Relationship Id="rId10" Type="http://schemas.openxmlformats.org/officeDocument/2006/relationships/hyperlink" Target="http://www.mobot.org/MOBOT/Research/russia/images/Fig_11_azer.jpg" TargetMode="External"/><Relationship Id="rId5" Type="http://schemas.openxmlformats.org/officeDocument/2006/relationships/hyperlink" Target="http://www.mobot.org/MOBOT/Research/russia/images/Landscape-06.jpg" TargetMode="External"/><Relationship Id="rId12" Type="http://schemas.openxmlformats.org/officeDocument/2006/relationships/hyperlink" Target="http://www.mobot.org/MOBOT/research/russia/welcome.shtml" TargetMode="External"/><Relationship Id="rId2" Type="http://schemas.microsoft.com/office/2007/relationships/stylesWithEffects" Target="stylesWithEffects.xml"/><Relationship Id="rId9"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968</Words>
  <Characters>5518</Characters>
  <Application>Microsoft Macintosh Word</Application>
  <DocSecurity>0</DocSecurity>
  <Lines>45</Lines>
  <Paragraphs>12</Paragraphs>
  <ScaleCrop>false</ScaleCrop>
  <Company>University of Nebraska Lincoln</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Levine</dc:creator>
  <cp:keywords/>
  <dc:description/>
  <cp:lastModifiedBy>Emily Levine</cp:lastModifiedBy>
  <cp:revision>1</cp:revision>
  <dcterms:created xsi:type="dcterms:W3CDTF">2013-11-25T18:21:00Z</dcterms:created>
  <dcterms:modified xsi:type="dcterms:W3CDTF">2013-11-25T18:30:00Z</dcterms:modified>
</cp:coreProperties>
</file>